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Pr="004167F4" w:rsidRDefault="002057C9" w:rsidP="002057C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ИНФОРМАЦИОННОЕ СООБЩЕНИЕ</w:t>
      </w:r>
      <w:r w:rsidR="00693FEB">
        <w:rPr>
          <w:rFonts w:ascii="PT Astra Serif" w:hAnsi="PT Astra Serif" w:cs="Times New Roman"/>
          <w:b/>
          <w:sz w:val="24"/>
          <w:szCs w:val="24"/>
        </w:rPr>
        <w:t xml:space="preserve"> (ИЗВЕЩЕНИЕ)</w:t>
      </w:r>
    </w:p>
    <w:p w:rsidR="002057C9" w:rsidRPr="004167F4" w:rsidRDefault="00B97748" w:rsidP="001B00A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 xml:space="preserve">о проведении </w:t>
      </w:r>
      <w:r w:rsidR="0099690A">
        <w:rPr>
          <w:rFonts w:ascii="PT Astra Serif" w:hAnsi="PT Astra Serif" w:cs="Times New Roman"/>
          <w:b/>
          <w:sz w:val="24"/>
          <w:szCs w:val="24"/>
        </w:rPr>
        <w:t>продаж</w:t>
      </w:r>
      <w:r w:rsidR="002F3594">
        <w:rPr>
          <w:rFonts w:ascii="PT Astra Serif" w:hAnsi="PT Astra Serif" w:cs="Times New Roman"/>
          <w:b/>
          <w:sz w:val="24"/>
          <w:szCs w:val="24"/>
        </w:rPr>
        <w:t>и</w:t>
      </w:r>
      <w:r w:rsidR="0099690A">
        <w:rPr>
          <w:rFonts w:ascii="PT Astra Serif" w:hAnsi="PT Astra Serif" w:cs="Times New Roman"/>
          <w:b/>
          <w:sz w:val="24"/>
          <w:szCs w:val="24"/>
        </w:rPr>
        <w:t xml:space="preserve"> древесины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01365">
        <w:rPr>
          <w:rFonts w:ascii="PT Astra Serif" w:hAnsi="PT Astra Serif" w:cs="Times New Roman"/>
          <w:b/>
          <w:sz w:val="24"/>
          <w:szCs w:val="24"/>
        </w:rPr>
        <w:t>от 29.06.2026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42"/>
        <w:gridCol w:w="2268"/>
        <w:gridCol w:w="4677"/>
      </w:tblGrid>
      <w:tr w:rsidR="002057C9" w:rsidRPr="004167F4" w:rsidTr="003150B0">
        <w:tc>
          <w:tcPr>
            <w:tcW w:w="9747" w:type="dxa"/>
            <w:gridSpan w:val="4"/>
            <w:shd w:val="clear" w:color="auto" w:fill="FFFF99"/>
          </w:tcPr>
          <w:p w:rsidR="002057C9" w:rsidRPr="004167F4" w:rsidRDefault="002057C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4167F4" w:rsidTr="009B7C07">
        <w:trPr>
          <w:trHeight w:val="327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Аукцион в электронной форме</w:t>
            </w:r>
            <w:r w:rsidR="00EB51B3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Определены  в  регламенте  Торговой  секции «Приватизация, аренда  и  продажа  прав»  (далее  –  ТС)  электронной площадки (далее – ЭП)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693FEB" w:rsidP="00693FEB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В соответствии с </w:t>
            </w:r>
            <w:r w:rsidRPr="00693FEB">
              <w:rPr>
                <w:rFonts w:ascii="PT Astra Serif" w:hAnsi="PT Astra Serif" w:cs="Times New Roman"/>
              </w:rPr>
              <w:t>подпунктом 24 пункта 2 статьи 3 Федерального закона от 21.12.2001 № 178-ФЗ «О приватизации государственного и муниципального имущества», статьей 5 Федерального закона от 20.03.2025 года № 35-ФЗ «О внесении изменений в отдельные законодательные акты Российской Федерации», Устава города Югорска</w:t>
            </w:r>
            <w:r>
              <w:rPr>
                <w:rFonts w:ascii="PT Astra Serif" w:hAnsi="PT Astra Serif" w:cs="Times New Roman"/>
              </w:rPr>
              <w:t xml:space="preserve">, Порядка отчуждения </w:t>
            </w:r>
            <w:r w:rsidRPr="00693FEB">
              <w:rPr>
                <w:rFonts w:ascii="PT Astra Serif" w:hAnsi="PT Astra Serif" w:cs="Times New Roman"/>
              </w:rPr>
              <w:t>древе</w:t>
            </w:r>
            <w:r>
              <w:rPr>
                <w:rFonts w:ascii="PT Astra Serif" w:hAnsi="PT Astra Serif" w:cs="Times New Roman"/>
              </w:rPr>
              <w:t xml:space="preserve">сины, полученной из срубленных, </w:t>
            </w:r>
            <w:r w:rsidRPr="00693FEB">
              <w:rPr>
                <w:rFonts w:ascii="PT Astra Serif" w:hAnsi="PT Astra Serif" w:cs="Times New Roman"/>
              </w:rPr>
              <w:t>спиленн</w:t>
            </w:r>
            <w:r>
              <w:rPr>
                <w:rFonts w:ascii="PT Astra Serif" w:hAnsi="PT Astra Serif" w:cs="Times New Roman"/>
              </w:rPr>
              <w:t xml:space="preserve">ых, срезанных стволов деревьев, </w:t>
            </w:r>
            <w:r w:rsidRPr="00693FEB">
              <w:rPr>
                <w:rFonts w:ascii="PT Astra Serif" w:hAnsi="PT Astra Serif" w:cs="Times New Roman"/>
              </w:rPr>
              <w:t>произ</w:t>
            </w:r>
            <w:r>
              <w:rPr>
                <w:rFonts w:ascii="PT Astra Serif" w:hAnsi="PT Astra Serif" w:cs="Times New Roman"/>
              </w:rPr>
              <w:t xml:space="preserve">растающих на земельных участках </w:t>
            </w:r>
            <w:r w:rsidRPr="00693FEB">
              <w:rPr>
                <w:rFonts w:ascii="PT Astra Serif" w:hAnsi="PT Astra Serif" w:cs="Times New Roman"/>
              </w:rPr>
              <w:t>(их част</w:t>
            </w:r>
            <w:r>
              <w:rPr>
                <w:rFonts w:ascii="PT Astra Serif" w:hAnsi="PT Astra Serif" w:cs="Times New Roman"/>
              </w:rPr>
              <w:t xml:space="preserve">ях) или землях, государственная </w:t>
            </w:r>
            <w:r w:rsidRPr="00693FEB">
              <w:rPr>
                <w:rFonts w:ascii="PT Astra Serif" w:hAnsi="PT Astra Serif" w:cs="Times New Roman"/>
              </w:rPr>
              <w:t>собственн</w:t>
            </w:r>
            <w:r>
              <w:rPr>
                <w:rFonts w:ascii="PT Astra Serif" w:hAnsi="PT Astra Serif" w:cs="Times New Roman"/>
              </w:rPr>
              <w:t xml:space="preserve">ость на которые не разграничена </w:t>
            </w:r>
            <w:r w:rsidRPr="00693FEB">
              <w:rPr>
                <w:rFonts w:ascii="PT Astra Serif" w:hAnsi="PT Astra Serif" w:cs="Times New Roman"/>
              </w:rPr>
              <w:t>и</w:t>
            </w:r>
            <w:r>
              <w:rPr>
                <w:rFonts w:ascii="PT Astra Serif" w:hAnsi="PT Astra Serif" w:cs="Times New Roman"/>
              </w:rPr>
              <w:t xml:space="preserve">ли находящихся в собственности  муниципального образования </w:t>
            </w:r>
            <w:r w:rsidRPr="00693FEB">
              <w:rPr>
                <w:rFonts w:ascii="PT Astra Serif" w:hAnsi="PT Astra Serif" w:cs="Times New Roman"/>
              </w:rPr>
              <w:t>город Югорск</w:t>
            </w:r>
            <w:r>
              <w:rPr>
                <w:rFonts w:ascii="PT Astra Serif" w:hAnsi="PT Astra Serif" w:cs="Times New Roman"/>
              </w:rPr>
              <w:t>, утвержденного решением Думы города Югорска от 27.05.2026 № 56</w:t>
            </w:r>
          </w:p>
        </w:tc>
      </w:tr>
      <w:tr w:rsidR="002057C9" w:rsidRPr="004167F4" w:rsidTr="00EC1173">
        <w:trPr>
          <w:trHeight w:val="2131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Сведения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 w:rsidRPr="004167F4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/>
              </w:rPr>
            </w:pPr>
            <w:r w:rsidRPr="004167F4">
              <w:rPr>
                <w:rFonts w:ascii="PT Astra Serif" w:hAnsi="PT Astra Serif" w:cs="Times New Roman"/>
              </w:rPr>
              <w:t xml:space="preserve">Адрес электронной почты: </w:t>
            </w:r>
            <w:r w:rsidR="001B00A7" w:rsidRPr="004167F4">
              <w:rPr>
                <w:rFonts w:ascii="PT Astra Serif" w:hAnsi="PT Astra Serif"/>
                <w:b/>
                <w:u w:val="single"/>
              </w:rPr>
              <w:t>nikitina.adm86@gmail.com</w:t>
            </w:r>
          </w:p>
          <w:p w:rsidR="00D17F7B" w:rsidRPr="004167F4" w:rsidRDefault="00D17F7B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Контактный телефон: (34675) </w:t>
            </w:r>
            <w:r w:rsidR="001B00A7" w:rsidRPr="004167F4">
              <w:rPr>
                <w:rFonts w:ascii="PT Astra Serif" w:hAnsi="PT Astra Serif" w:cs="Times New Roman"/>
              </w:rPr>
              <w:t>7-70-02, доб.</w:t>
            </w:r>
            <w:r w:rsidR="00D74702">
              <w:rPr>
                <w:rFonts w:ascii="PT Astra Serif" w:hAnsi="PT Astra Serif" w:cs="Times New Roman"/>
              </w:rPr>
              <w:t xml:space="preserve"> </w:t>
            </w:r>
            <w:r w:rsidR="001B00A7" w:rsidRPr="004167F4">
              <w:rPr>
                <w:rFonts w:ascii="PT Astra Serif" w:hAnsi="PT Astra Serif" w:cs="Times New Roman"/>
              </w:rPr>
              <w:t>113</w:t>
            </w:r>
          </w:p>
        </w:tc>
      </w:tr>
      <w:tr w:rsidR="00D17F7B" w:rsidRPr="004167F4" w:rsidTr="00553321">
        <w:trPr>
          <w:trHeight w:val="412"/>
        </w:trPr>
        <w:tc>
          <w:tcPr>
            <w:tcW w:w="9747" w:type="dxa"/>
            <w:gridSpan w:val="4"/>
            <w:shd w:val="clear" w:color="auto" w:fill="FFFF99"/>
            <w:vAlign w:val="center"/>
          </w:tcPr>
          <w:p w:rsidR="00D17F7B" w:rsidRPr="004167F4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4167F4" w:rsidTr="00EA70E9">
        <w:trPr>
          <w:trHeight w:val="295"/>
        </w:trPr>
        <w:tc>
          <w:tcPr>
            <w:tcW w:w="2802" w:type="dxa"/>
            <w:gridSpan w:val="2"/>
          </w:tcPr>
          <w:p w:rsidR="00D17F7B" w:rsidRPr="004167F4" w:rsidRDefault="00D17F7B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6945" w:type="dxa"/>
            <w:gridSpan w:val="2"/>
            <w:vAlign w:val="center"/>
          </w:tcPr>
          <w:p w:rsidR="00D17F7B" w:rsidRPr="004167F4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4167F4" w:rsidTr="00EA70E9">
        <w:trPr>
          <w:trHeight w:val="75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9518A9" w:rsidP="009518A9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Древесина </w:t>
            </w:r>
            <w:r w:rsidR="00F87094">
              <w:rPr>
                <w:rFonts w:ascii="PT Astra Serif" w:hAnsi="PT Astra Serif" w:cs="Times New Roman"/>
              </w:rPr>
              <w:t>583 куб.</w:t>
            </w:r>
            <w:r w:rsidR="004E7682">
              <w:rPr>
                <w:rFonts w:ascii="PT Astra Serif" w:hAnsi="PT Astra Serif" w:cs="Times New Roman"/>
              </w:rPr>
              <w:t xml:space="preserve"> </w:t>
            </w:r>
            <w:r w:rsidR="00F87094">
              <w:rPr>
                <w:rFonts w:ascii="PT Astra Serif" w:hAnsi="PT Astra Serif" w:cs="Times New Roman"/>
              </w:rPr>
              <w:t>м</w:t>
            </w:r>
            <w:r w:rsidR="004E7682">
              <w:rPr>
                <w:rFonts w:ascii="PT Astra Serif" w:hAnsi="PT Astra Serif" w:cs="Times New Roman"/>
              </w:rPr>
              <w:t>.</w:t>
            </w:r>
          </w:p>
        </w:tc>
      </w:tr>
      <w:tr w:rsidR="008F5405" w:rsidRPr="004167F4" w:rsidTr="00EA70E9">
        <w:trPr>
          <w:trHeight w:val="82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4867FC" w:rsidP="00693FEB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</w:t>
            </w:r>
            <w:r w:rsidR="00F87094">
              <w:rPr>
                <w:rFonts w:ascii="PT Astra Serif" w:hAnsi="PT Astra Serif" w:cs="Times New Roman"/>
              </w:rPr>
              <w:t>риказ Департамента муниципальной собственности и градостроительства</w:t>
            </w:r>
            <w:r w:rsidRPr="004167F4">
              <w:rPr>
                <w:rFonts w:ascii="PT Astra Serif" w:hAnsi="PT Astra Serif" w:cs="Times New Roman"/>
              </w:rPr>
              <w:t xml:space="preserve"> администрации города Югорска </w:t>
            </w:r>
            <w:r w:rsidRPr="00693FEB">
              <w:rPr>
                <w:rFonts w:ascii="PT Astra Serif" w:hAnsi="PT Astra Serif" w:cs="Times New Roman"/>
              </w:rPr>
              <w:t xml:space="preserve">от </w:t>
            </w:r>
            <w:r w:rsidR="00693FEB" w:rsidRPr="00693FEB">
              <w:rPr>
                <w:rFonts w:ascii="PT Astra Serif" w:hAnsi="PT Astra Serif" w:cs="Times New Roman"/>
              </w:rPr>
              <w:t xml:space="preserve">23.06.2026 </w:t>
            </w:r>
            <w:r w:rsidR="00693FEB">
              <w:rPr>
                <w:rFonts w:ascii="PT Astra Serif" w:hAnsi="PT Astra Serif" w:cs="Times New Roman"/>
              </w:rPr>
              <w:t xml:space="preserve">         </w:t>
            </w:r>
            <w:r w:rsidR="00F87094" w:rsidRPr="00693FEB">
              <w:rPr>
                <w:rFonts w:ascii="PT Astra Serif" w:hAnsi="PT Astra Serif" w:cs="Times New Roman"/>
              </w:rPr>
              <w:t xml:space="preserve">№ </w:t>
            </w:r>
            <w:r w:rsidR="00693FEB">
              <w:rPr>
                <w:rFonts w:ascii="PT Astra Serif" w:hAnsi="PT Astra Serif" w:cs="Times New Roman"/>
              </w:rPr>
              <w:t xml:space="preserve">49-13-03-Пр </w:t>
            </w:r>
            <w:r w:rsidR="00F87094">
              <w:rPr>
                <w:rFonts w:ascii="PT Astra Serif" w:hAnsi="PT Astra Serif" w:cs="Times New Roman"/>
              </w:rPr>
              <w:t>«О продаже древесины»</w:t>
            </w:r>
          </w:p>
        </w:tc>
      </w:tr>
      <w:tr w:rsidR="001B00A7" w:rsidRPr="004167F4" w:rsidTr="00EA70E9">
        <w:trPr>
          <w:trHeight w:val="896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Описание имущества</w:t>
            </w:r>
          </w:p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6945" w:type="dxa"/>
            <w:gridSpan w:val="2"/>
            <w:vAlign w:val="center"/>
          </w:tcPr>
          <w:p w:rsidR="004070B1" w:rsidRPr="004070B1" w:rsidRDefault="004070B1" w:rsidP="004070B1">
            <w:pPr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Местоположение: </w:t>
            </w:r>
            <w:r w:rsidRPr="004070B1">
              <w:rPr>
                <w:rFonts w:ascii="PT Astra Serif" w:hAnsi="PT Astra Serif"/>
              </w:rPr>
              <w:t>Ханты-Мансийский автономн</w:t>
            </w:r>
            <w:r>
              <w:rPr>
                <w:rFonts w:ascii="PT Astra Serif" w:hAnsi="PT Astra Serif"/>
              </w:rPr>
              <w:t xml:space="preserve">ый округ – Югра, город Югорск, </w:t>
            </w:r>
            <w:r w:rsidRPr="004070B1">
              <w:rPr>
                <w:rFonts w:ascii="PT Astra Serif" w:hAnsi="PT Astra Serif"/>
              </w:rPr>
              <w:t>в северо-западной части, охранная зона ГРС Комсомольская города Югорска</w:t>
            </w:r>
            <w:r>
              <w:rPr>
                <w:rFonts w:ascii="PT Astra Serif" w:hAnsi="PT Astra Serif"/>
              </w:rPr>
              <w:t>.</w:t>
            </w:r>
          </w:p>
          <w:p w:rsidR="004070B1" w:rsidRPr="004070B1" w:rsidRDefault="004070B1" w:rsidP="004070B1">
            <w:pPr>
              <w:ind w:right="34"/>
              <w:rPr>
                <w:rFonts w:ascii="PT Astra Serif" w:hAnsi="PT Astra Serif"/>
                <w:b/>
              </w:rPr>
            </w:pPr>
            <w:r w:rsidRPr="004070B1">
              <w:rPr>
                <w:rFonts w:ascii="PT Astra Serif" w:hAnsi="PT Astra Serif"/>
                <w:b/>
              </w:rPr>
              <w:t>Объем 583 куб. м, из них:</w:t>
            </w:r>
          </w:p>
          <w:p w:rsidR="004070B1" w:rsidRPr="004070B1" w:rsidRDefault="004070B1" w:rsidP="004070B1">
            <w:pPr>
              <w:ind w:right="34"/>
              <w:rPr>
                <w:rFonts w:ascii="PT Astra Serif" w:hAnsi="PT Astra Serif"/>
              </w:rPr>
            </w:pPr>
            <w:r w:rsidRPr="004070B1">
              <w:rPr>
                <w:rFonts w:ascii="PT Astra Serif" w:hAnsi="PT Astra Serif"/>
              </w:rPr>
              <w:t>Сосна 471 куб. м. (крупная 61 куб. м, средняя 410 куб. м);</w:t>
            </w:r>
          </w:p>
          <w:p w:rsidR="004070B1" w:rsidRPr="004070B1" w:rsidRDefault="004070B1" w:rsidP="004070B1">
            <w:pPr>
              <w:ind w:right="34"/>
              <w:rPr>
                <w:rFonts w:ascii="PT Astra Serif" w:hAnsi="PT Astra Serif"/>
              </w:rPr>
            </w:pPr>
            <w:r w:rsidRPr="004070B1">
              <w:rPr>
                <w:rFonts w:ascii="PT Astra Serif" w:hAnsi="PT Astra Serif"/>
              </w:rPr>
              <w:t>Ель 18 куб. м (средняя);</w:t>
            </w:r>
          </w:p>
          <w:p w:rsidR="001B00A7" w:rsidRPr="004167F4" w:rsidRDefault="004070B1" w:rsidP="004070B1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4070B1">
              <w:rPr>
                <w:rFonts w:ascii="PT Astra Serif" w:hAnsi="PT Astra Serif"/>
              </w:rPr>
              <w:t>Береза 94 куб. м. (крупная 1 куб. м, средняя 93 куб. м)</w:t>
            </w:r>
            <w:r w:rsidR="004E7682">
              <w:rPr>
                <w:rFonts w:ascii="PT Astra Serif" w:hAnsi="PT Astra Serif"/>
              </w:rPr>
              <w:t>.</w:t>
            </w:r>
          </w:p>
        </w:tc>
      </w:tr>
      <w:tr w:rsidR="001B00A7" w:rsidRPr="004167F4" w:rsidTr="00EA70E9">
        <w:trPr>
          <w:trHeight w:val="590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F5619B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</w:p>
        </w:tc>
      </w:tr>
      <w:tr w:rsidR="001B00A7" w:rsidRPr="004167F4" w:rsidTr="004E7682">
        <w:trPr>
          <w:trHeight w:val="404"/>
        </w:trPr>
        <w:tc>
          <w:tcPr>
            <w:tcW w:w="2802" w:type="dxa"/>
            <w:gridSpan w:val="2"/>
            <w:vAlign w:val="center"/>
          </w:tcPr>
          <w:p w:rsidR="001B00A7" w:rsidRPr="004167F4" w:rsidRDefault="001B00A7" w:rsidP="004E7682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2B3633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  <w:color w:val="000000"/>
              </w:rPr>
              <w:t>-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EA70E9" w:rsidRPr="004167F4" w:rsidRDefault="00EA70E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Начальная цена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(с учётом НДС),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F70D3E" w:rsidRDefault="00693FEB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F70D3E">
              <w:rPr>
                <w:rFonts w:ascii="PT Astra Serif" w:hAnsi="PT Astra Serif" w:cs="Times New Roman"/>
                <w:b/>
              </w:rPr>
              <w:t>297 330,00</w:t>
            </w:r>
          </w:p>
        </w:tc>
      </w:tr>
      <w:tr w:rsidR="001B00A7" w:rsidRPr="004167F4" w:rsidTr="002B3633">
        <w:trPr>
          <w:trHeight w:val="788"/>
        </w:trPr>
        <w:tc>
          <w:tcPr>
            <w:tcW w:w="2802" w:type="dxa"/>
            <w:gridSpan w:val="2"/>
          </w:tcPr>
          <w:p w:rsidR="001B00A7" w:rsidRPr="004167F4" w:rsidRDefault="00EA70E9" w:rsidP="00EA70E9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Шаг аукциона</w:t>
            </w:r>
            <w:r w:rsidR="001B00A7" w:rsidRPr="004167F4">
              <w:rPr>
                <w:rFonts w:ascii="PT Astra Serif" w:hAnsi="PT Astra Serif" w:cs="Times New Roman"/>
              </w:rPr>
              <w:t xml:space="preserve"> (</w:t>
            </w:r>
            <w:r w:rsidRPr="004167F4">
              <w:rPr>
                <w:rFonts w:ascii="PT Astra Serif" w:hAnsi="PT Astra Serif" w:cs="Times New Roman"/>
              </w:rPr>
              <w:t xml:space="preserve">не более    </w:t>
            </w:r>
            <w:r w:rsidR="001B00A7" w:rsidRPr="004167F4">
              <w:rPr>
                <w:rFonts w:ascii="PT Astra Serif" w:hAnsi="PT Astra Serif" w:cs="Times New Roman"/>
              </w:rPr>
              <w:t xml:space="preserve">5 % </w:t>
            </w:r>
            <w:r w:rsidRPr="004167F4">
              <w:rPr>
                <w:rFonts w:ascii="PT Astra Serif" w:hAnsi="PT Astra Serif" w:cs="Times New Roman"/>
              </w:rPr>
              <w:t>начальной цены</w:t>
            </w:r>
            <w:r w:rsidR="001B00A7"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F70D3E" w:rsidRDefault="00693FEB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F70D3E">
              <w:rPr>
                <w:rFonts w:ascii="PT Astra Serif" w:hAnsi="PT Astra Serif" w:cs="Times New Roman"/>
                <w:b/>
              </w:rPr>
              <w:t>14 866,50</w:t>
            </w:r>
          </w:p>
        </w:tc>
      </w:tr>
      <w:tr w:rsidR="00ED0711" w:rsidRPr="004167F4" w:rsidTr="00240B6B">
        <w:trPr>
          <w:trHeight w:val="693"/>
        </w:trPr>
        <w:tc>
          <w:tcPr>
            <w:tcW w:w="2802" w:type="dxa"/>
            <w:gridSpan w:val="2"/>
          </w:tcPr>
          <w:p w:rsidR="00ED0711" w:rsidRPr="004167F4" w:rsidRDefault="00ED0711" w:rsidP="00693FEB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Задаток</w:t>
            </w:r>
            <w:r w:rsidR="00693FEB">
              <w:rPr>
                <w:rFonts w:ascii="PT Astra Serif" w:hAnsi="PT Astra Serif" w:cs="Times New Roman"/>
              </w:rPr>
              <w:t xml:space="preserve">, </w:t>
            </w:r>
            <w:r w:rsidRPr="004167F4">
              <w:rPr>
                <w:rFonts w:ascii="PT Astra Serif" w:hAnsi="PT Astra Serif" w:cs="Times New Roman"/>
              </w:rPr>
              <w:t>руб.</w:t>
            </w:r>
          </w:p>
        </w:tc>
        <w:tc>
          <w:tcPr>
            <w:tcW w:w="6945" w:type="dxa"/>
            <w:gridSpan w:val="2"/>
            <w:vAlign w:val="center"/>
          </w:tcPr>
          <w:p w:rsidR="00ED0711" w:rsidRDefault="009537CF" w:rsidP="001E2CC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1</w:t>
            </w:r>
            <w:r w:rsidR="00ED0711" w:rsidRPr="00ED0711">
              <w:rPr>
                <w:rFonts w:ascii="PT Astra Serif" w:hAnsi="PT Astra Serif" w:cs="Times New Roman"/>
                <w:b/>
              </w:rPr>
              <w:t>,00</w:t>
            </w:r>
            <w:r w:rsidR="00693FEB">
              <w:rPr>
                <w:rFonts w:ascii="PT Astra Serif" w:hAnsi="PT Astra Serif" w:cs="Times New Roman"/>
                <w:b/>
              </w:rPr>
              <w:t>*</w:t>
            </w:r>
            <w:r w:rsidR="00ED0711">
              <w:rPr>
                <w:rFonts w:ascii="PT Astra Serif" w:hAnsi="PT Astra Serif" w:cs="Times New Roman"/>
              </w:rPr>
              <w:t xml:space="preserve"> </w:t>
            </w:r>
          </w:p>
          <w:p w:rsidR="00ED0711" w:rsidRPr="004167F4" w:rsidRDefault="00693FEB" w:rsidP="00240B6B">
            <w:pPr>
              <w:jc w:val="both"/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</w:rPr>
              <w:t>*</w:t>
            </w:r>
            <w:r w:rsidR="009537CF">
              <w:t xml:space="preserve"> </w:t>
            </w:r>
            <w:r w:rsidR="009537CF" w:rsidRPr="009537CF">
              <w:rPr>
                <w:rFonts w:ascii="PT Astra Serif" w:hAnsi="PT Astra Serif" w:cs="Times New Roman"/>
              </w:rPr>
              <w:t xml:space="preserve">Сумма задатка 1 рубль - обязательное условие оператора </w:t>
            </w:r>
            <w:proofErr w:type="spellStart"/>
            <w:r w:rsidR="009537CF" w:rsidRPr="009537CF">
              <w:rPr>
                <w:rFonts w:ascii="PT Astra Serif" w:hAnsi="PT Astra Serif" w:cs="Times New Roman"/>
              </w:rPr>
              <w:t>ТП</w:t>
            </w:r>
            <w:proofErr w:type="spellEnd"/>
            <w:r w:rsidR="009537CF" w:rsidRPr="009537CF">
              <w:rPr>
                <w:rFonts w:ascii="PT Astra Serif" w:hAnsi="PT Astra Serif" w:cs="Times New Roman"/>
              </w:rPr>
              <w:t xml:space="preserve">. Установлена в минимальном размере для возможности опубликования извещения. </w:t>
            </w:r>
            <w:bookmarkStart w:id="0" w:name="_GoBack"/>
            <w:bookmarkEnd w:id="0"/>
            <w:r w:rsidR="00ED0711" w:rsidRPr="003A562D">
              <w:rPr>
                <w:rFonts w:ascii="PT Astra Serif" w:hAnsi="PT Astra Serif" w:cs="Times New Roman"/>
              </w:rPr>
              <w:t xml:space="preserve">В соответствии с </w:t>
            </w:r>
            <w:r w:rsidR="00240B6B">
              <w:rPr>
                <w:rFonts w:ascii="PT Astra Serif" w:hAnsi="PT Astra Serif" w:cs="Times New Roman"/>
              </w:rPr>
              <w:t>пунктом</w:t>
            </w:r>
            <w:r w:rsidR="00ED0711">
              <w:rPr>
                <w:rFonts w:ascii="PT Astra Serif" w:hAnsi="PT Astra Serif" w:cs="Times New Roman"/>
              </w:rPr>
              <w:t xml:space="preserve"> 14 </w:t>
            </w:r>
            <w:r w:rsidR="00ED0711" w:rsidRPr="003A562D">
              <w:rPr>
                <w:rFonts w:ascii="PT Astra Serif" w:hAnsi="PT Astra Serif" w:cs="Times New Roman"/>
              </w:rPr>
              <w:t>Порядк</w:t>
            </w:r>
            <w:r w:rsidR="00ED0711">
              <w:rPr>
                <w:rFonts w:ascii="PT Astra Serif" w:hAnsi="PT Astra Serif" w:cs="Times New Roman"/>
              </w:rPr>
              <w:t>а</w:t>
            </w:r>
            <w:r w:rsidR="00ED0711" w:rsidRPr="003A562D">
              <w:rPr>
                <w:rFonts w:ascii="PT Astra Serif" w:hAnsi="PT Astra Serif" w:cs="Times New Roman"/>
              </w:rPr>
              <w:t xml:space="preserve"> отчу</w:t>
            </w:r>
            <w:r w:rsidR="00ED0711">
              <w:rPr>
                <w:rFonts w:ascii="PT Astra Serif" w:hAnsi="PT Astra Serif" w:cs="Times New Roman"/>
              </w:rPr>
              <w:t>ждения древесины, полученной</w:t>
            </w:r>
            <w:r w:rsidR="00ED0711" w:rsidRPr="003A562D">
              <w:rPr>
                <w:rFonts w:ascii="PT Astra Serif" w:hAnsi="PT Astra Serif" w:cs="Times New Roman"/>
              </w:rPr>
              <w:t xml:space="preserve"> из срубленных, спиленных, срезанных стволов деревьев, произрастающих на земельных участках (их частях) или землях, государственная собственность на которые не разграничена или находящихся в собственности муниципального образования город Югорск, утвержденным решением Думы города Югорска №</w:t>
            </w:r>
            <w:r w:rsidR="00240B6B">
              <w:rPr>
                <w:rFonts w:ascii="PT Astra Serif" w:hAnsi="PT Astra Serif" w:cs="Times New Roman"/>
              </w:rPr>
              <w:t xml:space="preserve"> 56 от</w:t>
            </w:r>
            <w:r w:rsidR="00ED0711" w:rsidRPr="003A562D">
              <w:rPr>
                <w:rFonts w:ascii="PT Astra Serif" w:hAnsi="PT Astra Serif" w:cs="Times New Roman"/>
              </w:rPr>
              <w:t xml:space="preserve"> 27.05.2026</w:t>
            </w:r>
            <w:r w:rsidR="00ED0711">
              <w:rPr>
                <w:rFonts w:ascii="PT Astra Serif" w:hAnsi="PT Astra Serif" w:cs="Times New Roman"/>
              </w:rPr>
              <w:t xml:space="preserve"> задаток для участия в аукционе не устанавливается</w:t>
            </w:r>
          </w:p>
        </w:tc>
      </w:tr>
      <w:tr w:rsidR="00ED0711" w:rsidRPr="004167F4" w:rsidTr="00EA70E9">
        <w:trPr>
          <w:trHeight w:val="1691"/>
        </w:trPr>
        <w:tc>
          <w:tcPr>
            <w:tcW w:w="2802" w:type="dxa"/>
            <w:gridSpan w:val="2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заключения договора купли-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продажи имущества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6945" w:type="dxa"/>
            <w:gridSpan w:val="2"/>
            <w:vAlign w:val="center"/>
          </w:tcPr>
          <w:p w:rsidR="00ED0711" w:rsidRPr="004167F4" w:rsidRDefault="00ED0711" w:rsidP="00161CB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Договор купли-продажи имущества заключается с победителем торгов </w:t>
            </w:r>
            <w:r w:rsidRPr="004167F4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 xml:space="preserve">в течение </w:t>
            </w:r>
            <w:r w:rsidR="00693FEB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10</w:t>
            </w:r>
            <w:r w:rsidRPr="004167F4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 xml:space="preserve"> (</w:t>
            </w:r>
            <w:r w:rsidR="00693FEB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десяти</w:t>
            </w:r>
            <w:r w:rsidRPr="004167F4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 xml:space="preserve">) </w:t>
            </w:r>
            <w:r w:rsidR="00693FEB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календарных</w:t>
            </w:r>
            <w:r w:rsidRPr="004167F4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 xml:space="preserve"> дней</w:t>
            </w: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</w:t>
            </w:r>
            <w:r w:rsidR="00693FEB" w:rsidRPr="00693FEB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>со дня получения победителем аукциона проекта указанного договора</w:t>
            </w:r>
            <w:r w:rsidR="00161CB2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>, направленного ему на подписание.</w:t>
            </w:r>
            <w:r w:rsidR="00161CB2" w:rsidRPr="00161CB2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Если договор купли-продажи в течение десяти календарных дней со дня получения победителем аукциона проекта указанного договора не был им подписан и представлен в адрес организатора аукциона, организатор аукциона предлагает заключить договор участнику аукциона, который сделал предпоследнее предложение о цене предмета аукциона, по цене, предложенной победителем аукциона. В данном случае договор купли-продажи должен быть подписан и представлен в адрес организатора аукциона в течение десяти календарных дней со дня получения таким участником проекта договора купли-продажи.</w:t>
            </w:r>
          </w:p>
        </w:tc>
      </w:tr>
      <w:tr w:rsidR="00ED0711" w:rsidRPr="004167F4" w:rsidTr="00EA70E9">
        <w:tc>
          <w:tcPr>
            <w:tcW w:w="2802" w:type="dxa"/>
            <w:gridSpan w:val="2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Оплата  по  договору  купли-продажи  имущества  производится единовременно  </w:t>
            </w:r>
            <w:r w:rsidRPr="004167F4">
              <w:rPr>
                <w:rFonts w:ascii="PT Astra Serif" w:hAnsi="PT Astra Serif" w:cs="Times New Roman"/>
                <w:b/>
              </w:rPr>
              <w:t>в  течение  10 (десяти) календарных дней</w:t>
            </w:r>
            <w:r w:rsidRPr="004167F4">
              <w:rPr>
                <w:rFonts w:ascii="PT Astra Serif" w:hAnsi="PT Astra Serif" w:cs="Times New Roman"/>
              </w:rPr>
              <w:t xml:space="preserve">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купли-продажи имущества. 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Уплата НДС производится покупателем (кроме физических лиц) самостоятельно, в соответствии с действующим законодательством Российской Федерации.</w:t>
            </w:r>
          </w:p>
        </w:tc>
      </w:tr>
      <w:tr w:rsidR="00ED0711" w:rsidRPr="004167F4" w:rsidTr="00EA70E9">
        <w:tc>
          <w:tcPr>
            <w:tcW w:w="2802" w:type="dxa"/>
            <w:gridSpan w:val="2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Передача имущества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оформление права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6945" w:type="dxa"/>
            <w:gridSpan w:val="2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</w:t>
            </w:r>
            <w:r w:rsidR="002B3633">
              <w:rPr>
                <w:rFonts w:ascii="PT Astra Serif" w:hAnsi="PT Astra Serif" w:cs="Times New Roman"/>
              </w:rPr>
              <w:t>бственности на такое имущество (если предусмотрена гос. регистрация в соответствии с отдельными пунктами договора купли-продажи).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Покупатель(оплата госпошлины и иные требования для регистрации) </w:t>
            </w:r>
          </w:p>
        </w:tc>
      </w:tr>
      <w:tr w:rsidR="00ED0711" w:rsidRPr="004167F4" w:rsidTr="00EA70E9">
        <w:tc>
          <w:tcPr>
            <w:tcW w:w="2802" w:type="dxa"/>
            <w:gridSpan w:val="2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ознакомления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 иной информацией,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условиями договора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Любое  лицо  (независимо  от регистрации  в  ТС  ЭП) вправе не позднее 5 рабочих дней до окончания подачи заявок направить запрос о разъяснении размещённой информации: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1) для зарегистрированных в ТС ЭП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2)  для  незарегистрированных  пользователей  подача  запроса возможна только из открытой части ЭП, для этого необходимо в  ТС  ЭП  перейти  в  раздел  «Процедуры»,  подраздел  «Реестр процедур   (лотов)»,   перейти в   «Реестр  процедур», нажать на пиктограмму «Направить запрос о разъяснениях».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4167F4">
              <w:rPr>
                <w:rFonts w:ascii="PT Astra Serif" w:hAnsi="PT Astra Serif" w:cs="Times New Roman"/>
              </w:rPr>
              <w:tab/>
              <w:t>тему запроса,</w:t>
            </w:r>
            <w:r w:rsidRPr="004167F4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ED0711" w:rsidRPr="004167F4" w:rsidTr="00EA70E9">
        <w:tc>
          <w:tcPr>
            <w:tcW w:w="2802" w:type="dxa"/>
            <w:gridSpan w:val="2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6945" w:type="dxa"/>
            <w:gridSpan w:val="2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 xml:space="preserve">Данное информационное сообщение является публичной офертой для заключения договора о задатке в соответствии со статьей 437 </w:t>
            </w:r>
            <w:r w:rsidRPr="004167F4">
              <w:rPr>
                <w:rFonts w:ascii="PT Astra Serif" w:hAnsi="PT Astra Serif" w:cs="Times New Roman"/>
                <w:b/>
                <w:i/>
              </w:rPr>
              <w:lastRenderedPageBreak/>
              <w:t>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</w:tc>
      </w:tr>
      <w:tr w:rsidR="00ED0711" w:rsidRPr="004167F4" w:rsidTr="003150B0">
        <w:tc>
          <w:tcPr>
            <w:tcW w:w="9747" w:type="dxa"/>
            <w:gridSpan w:val="4"/>
            <w:shd w:val="clear" w:color="auto" w:fill="FFFF99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lastRenderedPageBreak/>
              <w:t>Порядок оформления заявок на участие</w:t>
            </w:r>
          </w:p>
        </w:tc>
      </w:tr>
      <w:tr w:rsidR="00ED0711" w:rsidRPr="004167F4" w:rsidTr="00B93E62">
        <w:trPr>
          <w:trHeight w:val="2254"/>
        </w:trPr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Законом о приватизации)  и  обеспечившие в установленный срок перечисление задатка.</w:t>
            </w:r>
          </w:p>
          <w:p w:rsidR="00ED0711" w:rsidRPr="004167F4" w:rsidRDefault="00ED0711" w:rsidP="00240B6B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</w:t>
            </w:r>
            <w:r w:rsidRPr="004167F4">
              <w:rPr>
                <w:rFonts w:ascii="PT Astra Serif" w:hAnsi="PT Astra Serif" w:cs="Times New Roman"/>
                <w:b/>
                <w:i/>
              </w:rPr>
              <w:t xml:space="preserve">Для  </w:t>
            </w:r>
            <w:r w:rsidR="00240B6B">
              <w:rPr>
                <w:rFonts w:ascii="PT Astra Serif" w:hAnsi="PT Astra Serif" w:cs="Times New Roman"/>
                <w:b/>
                <w:i/>
              </w:rPr>
              <w:t>подачи</w:t>
            </w:r>
            <w:r w:rsidRPr="004167F4">
              <w:rPr>
                <w:rFonts w:ascii="PT Astra Serif" w:hAnsi="PT Astra Serif" w:cs="Times New Roman"/>
                <w:b/>
                <w:i/>
              </w:rPr>
              <w:t xml:space="preserve">  заявки  на  участие  в  продаже Претендент должен быть зарегистрирован в ТС ЭП</w:t>
            </w:r>
          </w:p>
        </w:tc>
      </w:tr>
      <w:tr w:rsidR="00ED0711" w:rsidRPr="004167F4" w:rsidTr="00EC1173">
        <w:trPr>
          <w:trHeight w:val="3109"/>
        </w:trPr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Перечень документов,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участником в составе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693FEB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ЮРИДИЧЕСКИЕ ЛИЦА: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заверенные копии учредительных документов;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скан-копия документа, удостоверяющего личность (при подаче представителем);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ED0711" w:rsidRPr="004167F4" w:rsidRDefault="00ED0711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иные документы, представляемые по желанию Претендента в составе заявки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ФИЗИЧЕСКИЕ ЛИЦА: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t>предоставляют копии всех листов документа, удостоверяющего личность, СНИЛС и ИНН.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ED0711" w:rsidRPr="004167F4" w:rsidRDefault="00ED0711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ED0711" w:rsidRPr="004167F4" w:rsidTr="00EC1173">
        <w:trPr>
          <w:trHeight w:val="6706"/>
        </w:trPr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оформлению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участниками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документов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(заявка)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 xml:space="preserve">Заявка  на  участие </w:t>
            </w:r>
            <w:r w:rsidRPr="004167F4">
              <w:rPr>
                <w:rFonts w:ascii="PT Astra Serif" w:hAnsi="PT Astra Serif" w:cs="Times New Roman"/>
              </w:rPr>
              <w:t xml:space="preserve"> в  процедуре  продажи  подаётся  путём заполнения   её   электронной   формы   посредством   штатного интерфейса    ЭП,    подписывается    электронной    подписью Претендента либо лица, имеющего право действовать от имени Претендента, а </w:t>
            </w:r>
            <w:r w:rsidRPr="004167F4">
              <w:rPr>
                <w:rFonts w:ascii="PT Astra Serif" w:hAnsi="PT Astra Serif" w:cs="Times New Roman"/>
                <w:b/>
              </w:rPr>
              <w:t>также заявка с приложением описи</w:t>
            </w:r>
            <w:r w:rsidRPr="004167F4">
              <w:rPr>
                <w:rFonts w:ascii="PT Astra Serif" w:hAnsi="PT Astra Serif" w:cs="Times New Roman"/>
              </w:rPr>
              <w:t>, прилагаемой к документации лота (заполняется от руки, направляется скан-копия).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заверяются электронной подписью Претендента либо лица, имеющего право действовать от имени Претендента.  Данное правило не применяется для копии выписки из </w:t>
            </w:r>
            <w:proofErr w:type="spellStart"/>
            <w:r w:rsidRPr="004167F4">
              <w:rPr>
                <w:rFonts w:ascii="PT Astra Serif" w:hAnsi="PT Astra Serif" w:cs="Times New Roman"/>
              </w:rPr>
              <w:t>ЕГРЮЛ</w:t>
            </w:r>
            <w:proofErr w:type="spellEnd"/>
            <w:r w:rsidRPr="004167F4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Все документы, преобразуемые в электронно-цифровую форму, должны быть подписаны Претендентом либо его представителем, имеющим право действовать от имени Претендента. Документы от имени юридического лица должны быть скреплены печатью такого юридического лица (при наличии печати).</w:t>
            </w:r>
          </w:p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ED0711" w:rsidRPr="004167F4" w:rsidTr="00EC1173">
        <w:trPr>
          <w:trHeight w:val="4330"/>
        </w:trPr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Ограничение участия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отдельных категорий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</w:t>
            </w:r>
          </w:p>
          <w:p w:rsidR="00ED0711" w:rsidRPr="004167F4" w:rsidRDefault="00ED0711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ED0711" w:rsidRPr="004167F4" w:rsidTr="000E211D">
        <w:trPr>
          <w:trHeight w:val="413"/>
        </w:trPr>
        <w:tc>
          <w:tcPr>
            <w:tcW w:w="9747" w:type="dxa"/>
            <w:gridSpan w:val="4"/>
            <w:shd w:val="clear" w:color="auto" w:fill="FFFF99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ED0711" w:rsidRPr="004167F4" w:rsidTr="003150B0"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подачи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ED0711" w:rsidRPr="004167F4" w:rsidTr="00981AFD"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 начала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подачи заявок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410" w:type="dxa"/>
            <w:gridSpan w:val="2"/>
            <w:vAlign w:val="center"/>
          </w:tcPr>
          <w:p w:rsidR="00ED0711" w:rsidRPr="004167F4" w:rsidRDefault="00161CB2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29.06.2026 16</w:t>
            </w:r>
            <w:r w:rsidR="00ED0711">
              <w:rPr>
                <w:rFonts w:ascii="PT Astra Serif" w:hAnsi="PT Astra Serif" w:cs="Times New Roman"/>
              </w:rPr>
              <w:t>:00</w:t>
            </w:r>
          </w:p>
        </w:tc>
        <w:tc>
          <w:tcPr>
            <w:tcW w:w="4677" w:type="dxa"/>
            <w:vMerge w:val="restart"/>
            <w:vAlign w:val="center"/>
          </w:tcPr>
          <w:p w:rsidR="00ED0711" w:rsidRPr="004167F4" w:rsidRDefault="00ED0711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ВНИМАНИЕ!</w:t>
            </w:r>
            <w:r w:rsidRPr="004167F4">
              <w:rPr>
                <w:rFonts w:ascii="PT Astra Serif" w:hAnsi="PT Astra Serif" w:cs="Times New Roman"/>
              </w:rPr>
              <w:t xml:space="preserve"> Указанное</w:t>
            </w:r>
          </w:p>
          <w:p w:rsidR="00ED0711" w:rsidRPr="004167F4" w:rsidRDefault="00ED0711" w:rsidP="00675BF2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ED0711" w:rsidRPr="004167F4" w:rsidRDefault="00ED0711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>ообщении время – местное время организатора на момент публикации извещения на</w:t>
            </w:r>
            <w:r>
              <w:t xml:space="preserve"> </w:t>
            </w:r>
            <w:hyperlink r:id="rId6" w:history="1">
              <w:r w:rsidRPr="005E2C7C">
                <w:rPr>
                  <w:rStyle w:val="a4"/>
                  <w:rFonts w:ascii="PT Astra Serif" w:hAnsi="PT Astra Serif" w:cs="Times New Roman"/>
                </w:rPr>
                <w:t>https://torgi.gov.ru</w:t>
              </w:r>
            </w:hyperlink>
            <w:r>
              <w:rPr>
                <w:rFonts w:ascii="PT Astra Serif" w:hAnsi="PT Astra Serif" w:cs="Times New Roman"/>
              </w:rPr>
              <w:t xml:space="preserve"> и может отличаться от серверного времени ЭП (электронной площадки). Фактическое время начала и окончания подачи заявок будет указано на ЭП при подаче заявки претендентом. </w:t>
            </w:r>
          </w:p>
        </w:tc>
      </w:tr>
      <w:tr w:rsidR="00ED0711" w:rsidRPr="004167F4" w:rsidTr="00981AFD"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окончания подачи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410" w:type="dxa"/>
            <w:gridSpan w:val="2"/>
            <w:vAlign w:val="center"/>
          </w:tcPr>
          <w:p w:rsidR="00ED0711" w:rsidRPr="004167F4" w:rsidRDefault="00F70D3E" w:rsidP="00161CB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  <w:r w:rsidR="00ED0711">
              <w:rPr>
                <w:rFonts w:ascii="PT Astra Serif" w:hAnsi="PT Astra Serif" w:cs="Times New Roman"/>
              </w:rPr>
              <w:t>.0</w:t>
            </w:r>
            <w:r w:rsidR="00161CB2">
              <w:rPr>
                <w:rFonts w:ascii="PT Astra Serif" w:hAnsi="PT Astra Serif" w:cs="Times New Roman"/>
              </w:rPr>
              <w:t>7.2026 16</w:t>
            </w:r>
            <w:r w:rsidR="00ED0711">
              <w:rPr>
                <w:rFonts w:ascii="PT Astra Serif" w:hAnsi="PT Astra Serif" w:cs="Times New Roman"/>
              </w:rPr>
              <w:t>:00</w:t>
            </w:r>
            <w:r w:rsidR="00ED0711" w:rsidRPr="004167F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677" w:type="dxa"/>
            <w:vMerge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ED0711" w:rsidRPr="004167F4" w:rsidTr="00981AFD"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определения победителя</w:t>
            </w:r>
            <w:r>
              <w:rPr>
                <w:rFonts w:ascii="PT Astra Serif" w:hAnsi="PT Astra Serif" w:cs="Times New Roman"/>
              </w:rPr>
              <w:t xml:space="preserve"> (подведение итогов)</w:t>
            </w:r>
          </w:p>
        </w:tc>
        <w:tc>
          <w:tcPr>
            <w:tcW w:w="2410" w:type="dxa"/>
            <w:gridSpan w:val="2"/>
            <w:vAlign w:val="center"/>
          </w:tcPr>
          <w:p w:rsidR="00ED0711" w:rsidRPr="004167F4" w:rsidRDefault="00161CB2" w:rsidP="00BC44C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27.07</w:t>
            </w:r>
            <w:r w:rsidR="00ED0711">
              <w:rPr>
                <w:rFonts w:ascii="PT Astra Serif" w:hAnsi="PT Astra Serif" w:cs="Times New Roman"/>
              </w:rPr>
              <w:t>.2026</w:t>
            </w:r>
          </w:p>
        </w:tc>
        <w:tc>
          <w:tcPr>
            <w:tcW w:w="4677" w:type="dxa"/>
            <w:vMerge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ED0711" w:rsidRPr="004167F4" w:rsidTr="00C90404"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заключения договора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161CB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до </w:t>
            </w:r>
            <w:r w:rsidR="00161CB2">
              <w:rPr>
                <w:rFonts w:ascii="PT Astra Serif" w:hAnsi="PT Astra Serif" w:cs="Times New Roman"/>
              </w:rPr>
              <w:t>05.08</w:t>
            </w:r>
            <w:r>
              <w:rPr>
                <w:rFonts w:ascii="PT Astra Serif" w:hAnsi="PT Astra Serif" w:cs="Times New Roman"/>
              </w:rPr>
              <w:t>.2026</w:t>
            </w:r>
          </w:p>
        </w:tc>
      </w:tr>
      <w:tr w:rsidR="00ED0711" w:rsidRPr="004167F4" w:rsidTr="00981AFD">
        <w:trPr>
          <w:trHeight w:val="678"/>
        </w:trPr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определения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D7470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 xml:space="preserve">Покупателем муниципального имущества </w:t>
            </w:r>
            <w:r>
              <w:rPr>
                <w:rFonts w:ascii="PT Astra Serif" w:hAnsi="PT Astra Serif"/>
                <w:color w:val="22272F"/>
                <w:shd w:val="clear" w:color="auto" w:fill="FFFFFF"/>
              </w:rPr>
              <w:t>(победителем) признается участник, предложивший наиболее высокую цену</w:t>
            </w: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> </w:t>
            </w:r>
          </w:p>
        </w:tc>
      </w:tr>
      <w:tr w:rsidR="00ED0711" w:rsidRPr="004167F4" w:rsidTr="003150B0">
        <w:tc>
          <w:tcPr>
            <w:tcW w:w="9747" w:type="dxa"/>
            <w:gridSpan w:val="4"/>
            <w:shd w:val="clear" w:color="auto" w:fill="FFFF99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lastRenderedPageBreak/>
              <w:t>Документы и сведения</w:t>
            </w:r>
          </w:p>
        </w:tc>
      </w:tr>
      <w:tr w:rsidR="00ED0711" w:rsidRPr="004167F4" w:rsidTr="002369A0">
        <w:trPr>
          <w:trHeight w:val="613"/>
        </w:trPr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1)</w:t>
            </w:r>
          </w:p>
        </w:tc>
      </w:tr>
      <w:tr w:rsidR="00ED0711" w:rsidRPr="004167F4" w:rsidTr="006D2B50">
        <w:trPr>
          <w:trHeight w:val="613"/>
        </w:trPr>
        <w:tc>
          <w:tcPr>
            <w:tcW w:w="2660" w:type="dxa"/>
            <w:vAlign w:val="center"/>
          </w:tcPr>
          <w:p w:rsidR="00ED0711" w:rsidRPr="004167F4" w:rsidRDefault="00ED0711" w:rsidP="006D2B50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заявки и описи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2)</w:t>
            </w:r>
          </w:p>
        </w:tc>
      </w:tr>
      <w:tr w:rsidR="00ED0711" w:rsidRPr="004167F4" w:rsidTr="003150B0">
        <w:tc>
          <w:tcPr>
            <w:tcW w:w="2660" w:type="dxa"/>
          </w:tcPr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его продаже,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об итогах таких</w:t>
            </w:r>
          </w:p>
          <w:p w:rsidR="00ED0711" w:rsidRPr="004167F4" w:rsidRDefault="00ED0711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3"/>
            <w:vAlign w:val="center"/>
          </w:tcPr>
          <w:p w:rsidR="00ED0711" w:rsidRPr="004167F4" w:rsidRDefault="00ED0711" w:rsidP="002369A0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Торги в отношении имущества, указанного в данном информационном сообщении, не проводились. </w:t>
            </w:r>
            <w:r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</w:tbl>
    <w:p w:rsidR="002057C9" w:rsidRPr="004167F4" w:rsidRDefault="002057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sectPr w:rsidR="002057C9" w:rsidRPr="004167F4" w:rsidSect="00240B6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658FB"/>
    <w:rsid w:val="000D5B15"/>
    <w:rsid w:val="000E211D"/>
    <w:rsid w:val="000E2D7A"/>
    <w:rsid w:val="000F2AB2"/>
    <w:rsid w:val="001240C0"/>
    <w:rsid w:val="00154430"/>
    <w:rsid w:val="00161CB2"/>
    <w:rsid w:val="001665F3"/>
    <w:rsid w:val="0017491A"/>
    <w:rsid w:val="001A3B94"/>
    <w:rsid w:val="001B00A7"/>
    <w:rsid w:val="002057C9"/>
    <w:rsid w:val="00210668"/>
    <w:rsid w:val="002369A0"/>
    <w:rsid w:val="00240B6B"/>
    <w:rsid w:val="00250659"/>
    <w:rsid w:val="002A2CF1"/>
    <w:rsid w:val="002B3633"/>
    <w:rsid w:val="002D4C90"/>
    <w:rsid w:val="002F3594"/>
    <w:rsid w:val="002F4D34"/>
    <w:rsid w:val="003132E7"/>
    <w:rsid w:val="003150B0"/>
    <w:rsid w:val="0031799F"/>
    <w:rsid w:val="00326FF3"/>
    <w:rsid w:val="003A562D"/>
    <w:rsid w:val="003F10F9"/>
    <w:rsid w:val="004070B1"/>
    <w:rsid w:val="004167F4"/>
    <w:rsid w:val="00435E12"/>
    <w:rsid w:val="00442A40"/>
    <w:rsid w:val="004802FD"/>
    <w:rsid w:val="00484968"/>
    <w:rsid w:val="004867FC"/>
    <w:rsid w:val="004E7682"/>
    <w:rsid w:val="00553321"/>
    <w:rsid w:val="005A63E7"/>
    <w:rsid w:val="005F783A"/>
    <w:rsid w:val="006422DA"/>
    <w:rsid w:val="00675BF2"/>
    <w:rsid w:val="00693FEB"/>
    <w:rsid w:val="006B118F"/>
    <w:rsid w:val="006C6BB5"/>
    <w:rsid w:val="006D028A"/>
    <w:rsid w:val="006D2B50"/>
    <w:rsid w:val="007026C5"/>
    <w:rsid w:val="007654A7"/>
    <w:rsid w:val="007E40FA"/>
    <w:rsid w:val="00820CA8"/>
    <w:rsid w:val="008928F7"/>
    <w:rsid w:val="008F5405"/>
    <w:rsid w:val="009103A0"/>
    <w:rsid w:val="009518A9"/>
    <w:rsid w:val="009537CF"/>
    <w:rsid w:val="0097351F"/>
    <w:rsid w:val="00981AFD"/>
    <w:rsid w:val="0099470B"/>
    <w:rsid w:val="0099690A"/>
    <w:rsid w:val="009B7C07"/>
    <w:rsid w:val="009D19E3"/>
    <w:rsid w:val="009D3688"/>
    <w:rsid w:val="00A448CD"/>
    <w:rsid w:val="00A56581"/>
    <w:rsid w:val="00A762C2"/>
    <w:rsid w:val="00AC7E37"/>
    <w:rsid w:val="00B01365"/>
    <w:rsid w:val="00B05404"/>
    <w:rsid w:val="00B157F9"/>
    <w:rsid w:val="00B66050"/>
    <w:rsid w:val="00B72B0E"/>
    <w:rsid w:val="00B843EC"/>
    <w:rsid w:val="00B93E62"/>
    <w:rsid w:val="00B97748"/>
    <w:rsid w:val="00BC44C4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74702"/>
    <w:rsid w:val="00D92B81"/>
    <w:rsid w:val="00D9304B"/>
    <w:rsid w:val="00DB2602"/>
    <w:rsid w:val="00DE7205"/>
    <w:rsid w:val="00DF514E"/>
    <w:rsid w:val="00E5317B"/>
    <w:rsid w:val="00EA70E9"/>
    <w:rsid w:val="00EB51B3"/>
    <w:rsid w:val="00EC1173"/>
    <w:rsid w:val="00ED0711"/>
    <w:rsid w:val="00EE479B"/>
    <w:rsid w:val="00EE6948"/>
    <w:rsid w:val="00EF09BE"/>
    <w:rsid w:val="00F03979"/>
    <w:rsid w:val="00F04897"/>
    <w:rsid w:val="00F25248"/>
    <w:rsid w:val="00F33C5B"/>
    <w:rsid w:val="00F441F7"/>
    <w:rsid w:val="00F5619B"/>
    <w:rsid w:val="00F70D3E"/>
    <w:rsid w:val="00F87094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38B8-5687-4FA7-B799-8EC62262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62</cp:revision>
  <cp:lastPrinted>2019-07-08T05:11:00Z</cp:lastPrinted>
  <dcterms:created xsi:type="dcterms:W3CDTF">2025-09-26T10:58:00Z</dcterms:created>
  <dcterms:modified xsi:type="dcterms:W3CDTF">2026-06-29T07:12:00Z</dcterms:modified>
</cp:coreProperties>
</file>